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967" w:tblpY="1773"/>
        <w:tblOverlap w:val="never"/>
        <w:tblW w:w="10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168"/>
        <w:gridCol w:w="462"/>
        <w:gridCol w:w="89"/>
        <w:gridCol w:w="457"/>
        <w:gridCol w:w="470"/>
        <w:gridCol w:w="190"/>
        <w:gridCol w:w="77"/>
        <w:gridCol w:w="96"/>
        <w:gridCol w:w="288"/>
        <w:gridCol w:w="436"/>
        <w:gridCol w:w="378"/>
        <w:gridCol w:w="375"/>
        <w:gridCol w:w="210"/>
        <w:gridCol w:w="118"/>
        <w:gridCol w:w="377"/>
        <w:gridCol w:w="165"/>
        <w:gridCol w:w="615"/>
        <w:gridCol w:w="333"/>
        <w:gridCol w:w="321"/>
        <w:gridCol w:w="24"/>
        <w:gridCol w:w="224"/>
        <w:gridCol w:w="421"/>
        <w:gridCol w:w="542"/>
        <w:gridCol w:w="93"/>
        <w:gridCol w:w="97"/>
        <w:gridCol w:w="347"/>
        <w:gridCol w:w="598"/>
        <w:gridCol w:w="482"/>
        <w:gridCol w:w="103"/>
        <w:gridCol w:w="405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张三</w:t>
            </w: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197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41230119</w:t>
            </w:r>
            <w:r>
              <w:rPr>
                <w:rFonts w:hint="eastAsia" w:ascii="宋体" w:hAnsi="宋体"/>
                <w:spacing w:val="-1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pacing w:val="-10"/>
                <w:szCs w:val="21"/>
              </w:rPr>
              <w:t>6041</w:t>
            </w:r>
            <w:r>
              <w:rPr>
                <w:rFonts w:hint="eastAsia" w:ascii="宋体" w:hAnsi="宋体"/>
                <w:spacing w:val="-1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pacing w:val="-10"/>
                <w:szCs w:val="21"/>
              </w:rPr>
              <w:t>101</w:t>
            </w:r>
            <w:r>
              <w:rPr>
                <w:rFonts w:hint="eastAsia" w:ascii="宋体" w:hAnsi="宋体"/>
                <w:spacing w:val="-1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pacing w:val="-10"/>
                <w:szCs w:val="21"/>
              </w:rPr>
              <w:t xml:space="preserve"> </w:t>
            </w:r>
          </w:p>
        </w:tc>
        <w:tc>
          <w:tcPr>
            <w:tcW w:w="5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10"/>
                <w:szCs w:val="21"/>
              </w:rPr>
              <w:t xml:space="preserve">男  </w:t>
            </w:r>
          </w:p>
        </w:tc>
        <w:tc>
          <w:tcPr>
            <w:tcW w:w="6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  <w:lang w:val="en-US" w:eastAsia="zh-CN"/>
              </w:rPr>
              <w:t>1976.04</w:t>
            </w:r>
          </w:p>
        </w:tc>
        <w:tc>
          <w:tcPr>
            <w:tcW w:w="11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pacing w:val="-1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10"/>
                <w:szCs w:val="21"/>
                <w:lang w:val="en-US" w:eastAsia="zh-CN"/>
              </w:rPr>
              <w:t>1999.06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</w:trPr>
        <w:tc>
          <w:tcPr>
            <w:tcW w:w="1175" w:type="dxa"/>
            <w:gridSpan w:val="3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省辖市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（省直）</w:t>
            </w:r>
          </w:p>
        </w:tc>
        <w:tc>
          <w:tcPr>
            <w:tcW w:w="10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省直</w:t>
            </w:r>
          </w:p>
        </w:tc>
        <w:tc>
          <w:tcPr>
            <w:tcW w:w="6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267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河南省教育厅</w:t>
            </w:r>
          </w:p>
        </w:tc>
        <w:tc>
          <w:tcPr>
            <w:tcW w:w="6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4506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新乡学院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</w:trPr>
        <w:tc>
          <w:tcPr>
            <w:tcW w:w="117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现从事专业及时间</w:t>
            </w:r>
          </w:p>
        </w:tc>
        <w:tc>
          <w:tcPr>
            <w:tcW w:w="3066" w:type="dxa"/>
            <w:gridSpan w:val="11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马克思主义理论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 xml:space="preserve"> 2009年09月</w:t>
            </w:r>
          </w:p>
        </w:tc>
        <w:tc>
          <w:tcPr>
            <w:tcW w:w="1929" w:type="dxa"/>
            <w:gridSpan w:val="6"/>
            <w:noWrap w:val="0"/>
            <w:vAlign w:val="center"/>
          </w:tcPr>
          <w:p>
            <w:pPr>
              <w:ind w:left="630" w:hanging="630" w:hangingChars="3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外语语种</w:t>
            </w:r>
          </w:p>
        </w:tc>
        <w:tc>
          <w:tcPr>
            <w:tcW w:w="13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不填</w:t>
            </w:r>
          </w:p>
        </w:tc>
        <w:tc>
          <w:tcPr>
            <w:tcW w:w="16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外语证书等级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</w:trPr>
        <w:tc>
          <w:tcPr>
            <w:tcW w:w="1175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11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9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证书取得时间</w:t>
            </w:r>
          </w:p>
        </w:tc>
        <w:tc>
          <w:tcPr>
            <w:tcW w:w="4506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</w:trPr>
        <w:tc>
          <w:tcPr>
            <w:tcW w:w="5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</w:t>
            </w:r>
          </w:p>
        </w:tc>
        <w:tc>
          <w:tcPr>
            <w:tcW w:w="7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不填</w:t>
            </w:r>
          </w:p>
        </w:tc>
        <w:tc>
          <w:tcPr>
            <w:tcW w:w="11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取得时间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10"/>
                <w:szCs w:val="21"/>
                <w:lang w:eastAsia="zh-CN"/>
              </w:rPr>
              <w:t>不填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详情</w:t>
            </w:r>
          </w:p>
        </w:tc>
        <w:tc>
          <w:tcPr>
            <w:tcW w:w="5160" w:type="dxa"/>
            <w:gridSpan w:val="14"/>
            <w:noWrap w:val="0"/>
            <w:vAlign w:val="center"/>
          </w:tcPr>
          <w:p>
            <w:pPr>
              <w:ind w:firstLine="285" w:firstLineChars="1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  <w:lang w:eastAsia="zh-CN"/>
              </w:rPr>
              <w:t>新乡学院</w:t>
            </w:r>
            <w:r>
              <w:rPr>
                <w:rFonts w:hint="eastAsia" w:ascii="宋体" w:hAnsi="宋体"/>
                <w:spacing w:val="-10"/>
                <w:szCs w:val="21"/>
              </w:rPr>
              <w:t>，</w:t>
            </w:r>
            <w:r>
              <w:rPr>
                <w:rFonts w:hint="eastAsia" w:ascii="宋体" w:hAnsi="宋体"/>
                <w:spacing w:val="-10"/>
                <w:szCs w:val="21"/>
                <w:lang w:eastAsia="zh-CN"/>
              </w:rPr>
              <w:t>思想政治教育</w:t>
            </w:r>
            <w:r>
              <w:rPr>
                <w:rFonts w:hint="eastAsia" w:ascii="宋体" w:hAnsi="宋体"/>
                <w:spacing w:val="-10"/>
                <w:szCs w:val="21"/>
              </w:rPr>
              <w:t>，</w:t>
            </w:r>
            <w:r>
              <w:rPr>
                <w:rFonts w:hint="eastAsia" w:ascii="宋体" w:hAnsi="宋体"/>
                <w:spacing w:val="-1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pacing w:val="-10"/>
                <w:szCs w:val="21"/>
              </w:rPr>
              <w:t>年制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7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不填</w:t>
            </w:r>
          </w:p>
        </w:tc>
        <w:tc>
          <w:tcPr>
            <w:tcW w:w="11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取得时间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10"/>
                <w:szCs w:val="21"/>
                <w:lang w:eastAsia="zh-CN"/>
              </w:rPr>
              <w:t>不填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详情</w:t>
            </w:r>
          </w:p>
        </w:tc>
        <w:tc>
          <w:tcPr>
            <w:tcW w:w="5160" w:type="dxa"/>
            <w:gridSpan w:val="14"/>
            <w:noWrap w:val="0"/>
            <w:vAlign w:val="center"/>
          </w:tcPr>
          <w:p>
            <w:pPr>
              <w:ind w:firstLine="267" w:firstLineChars="150"/>
              <w:rPr>
                <w:rFonts w:hint="eastAsia" w:ascii="宋体" w:hAnsi="宋体"/>
                <w:spacing w:val="-16"/>
                <w:szCs w:val="21"/>
              </w:rPr>
            </w:pPr>
            <w:r>
              <w:rPr>
                <w:rFonts w:hint="eastAsia" w:ascii="宋体" w:hAnsi="宋体"/>
                <w:spacing w:val="-16"/>
                <w:szCs w:val="21"/>
                <w:lang w:eastAsia="zh-CN"/>
              </w:rPr>
              <w:t>河南师范大学</w:t>
            </w:r>
            <w:r>
              <w:rPr>
                <w:rFonts w:hint="eastAsia" w:ascii="宋体" w:hAnsi="宋体"/>
                <w:spacing w:val="-16"/>
                <w:szCs w:val="21"/>
              </w:rPr>
              <w:t>，马克思主义理论，</w:t>
            </w:r>
            <w:r>
              <w:rPr>
                <w:rFonts w:hint="eastAsia" w:ascii="宋体" w:hAnsi="宋体"/>
                <w:spacing w:val="-16"/>
                <w:szCs w:val="21"/>
                <w:lang w:val="en-US" w:eastAsia="zh-CN"/>
              </w:rPr>
              <w:t>2.5</w:t>
            </w:r>
            <w:r>
              <w:rPr>
                <w:rFonts w:hint="eastAsia" w:ascii="宋体" w:hAnsi="宋体"/>
                <w:spacing w:val="-16"/>
                <w:szCs w:val="21"/>
              </w:rPr>
              <w:t>年制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</w:trPr>
        <w:tc>
          <w:tcPr>
            <w:tcW w:w="1721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现任专业技术职务</w:t>
            </w:r>
          </w:p>
        </w:tc>
        <w:tc>
          <w:tcPr>
            <w:tcW w:w="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系列</w:t>
            </w:r>
          </w:p>
        </w:tc>
        <w:tc>
          <w:tcPr>
            <w:tcW w:w="10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高校教师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</w:t>
            </w:r>
          </w:p>
        </w:tc>
        <w:tc>
          <w:tcPr>
            <w:tcW w:w="7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中级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9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讲师</w:t>
            </w:r>
          </w:p>
        </w:tc>
        <w:tc>
          <w:tcPr>
            <w:tcW w:w="11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取得时间</w:t>
            </w:r>
          </w:p>
        </w:tc>
        <w:tc>
          <w:tcPr>
            <w:tcW w:w="945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2010．</w:t>
            </w:r>
            <w:r>
              <w:rPr>
                <w:rFonts w:hint="eastAsia" w:ascii="仿宋_GB2312" w:eastAsia="仿宋_GB2312"/>
                <w:spacing w:val="-10"/>
                <w:szCs w:val="21"/>
                <w:lang w:val="en-US" w:eastAsia="zh-CN"/>
              </w:rPr>
              <w:t>12</w:t>
            </w:r>
          </w:p>
        </w:tc>
        <w:tc>
          <w:tcPr>
            <w:tcW w:w="990" w:type="dxa"/>
            <w:gridSpan w:val="3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聘任时间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2</w:t>
            </w:r>
            <w:r>
              <w:rPr>
                <w:rFonts w:hint="eastAsia" w:ascii="仿宋_GB2312" w:eastAsia="仿宋_GB2312"/>
                <w:spacing w:val="-10"/>
                <w:szCs w:val="21"/>
                <w:lang w:val="en-US" w:eastAsia="zh-CN"/>
              </w:rPr>
              <w:t>013</w:t>
            </w:r>
            <w:r>
              <w:rPr>
                <w:rFonts w:hint="eastAsia" w:ascii="仿宋_GB2312" w:eastAsia="仿宋_GB2312"/>
                <w:spacing w:val="-10"/>
                <w:szCs w:val="21"/>
              </w:rPr>
              <w:t>.0</w:t>
            </w:r>
            <w:r>
              <w:rPr>
                <w:rFonts w:hint="eastAsia" w:ascii="仿宋_GB2312" w:eastAsia="仿宋_GB2312"/>
                <w:spacing w:val="-1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</w:trPr>
        <w:tc>
          <w:tcPr>
            <w:tcW w:w="1721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其他专业技术职务</w:t>
            </w:r>
          </w:p>
        </w:tc>
        <w:tc>
          <w:tcPr>
            <w:tcW w:w="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系列</w:t>
            </w:r>
          </w:p>
        </w:tc>
        <w:tc>
          <w:tcPr>
            <w:tcW w:w="10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</w:t>
            </w:r>
          </w:p>
        </w:tc>
        <w:tc>
          <w:tcPr>
            <w:tcW w:w="7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902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1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聘任时间</w:t>
            </w:r>
          </w:p>
        </w:tc>
        <w:tc>
          <w:tcPr>
            <w:tcW w:w="3105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</w:trPr>
        <w:tc>
          <w:tcPr>
            <w:tcW w:w="1264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兼任行政职务及时间</w:t>
            </w:r>
          </w:p>
        </w:tc>
        <w:tc>
          <w:tcPr>
            <w:tcW w:w="3472" w:type="dxa"/>
            <w:gridSpan w:val="12"/>
            <w:vMerge w:val="restart"/>
            <w:noWrap w:val="0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如实填写</w:t>
            </w:r>
          </w:p>
        </w:tc>
        <w:tc>
          <w:tcPr>
            <w:tcW w:w="5940" w:type="dxa"/>
            <w:gridSpan w:val="16"/>
            <w:noWrap w:val="0"/>
            <w:vAlign w:val="top"/>
          </w:tcPr>
          <w:p>
            <w:pPr>
              <w:ind w:firstLine="840" w:firstLineChars="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任现职近5年来年度考核情况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</w:trPr>
        <w:tc>
          <w:tcPr>
            <w:tcW w:w="1264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472" w:type="dxa"/>
            <w:gridSpan w:val="1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201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年</w:t>
            </w:r>
          </w:p>
        </w:tc>
        <w:tc>
          <w:tcPr>
            <w:tcW w:w="9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201</w:t>
            </w:r>
            <w:r>
              <w:rPr>
                <w:rFonts w:hint="eastAsia" w:ascii="宋体" w:hAnsi="宋体"/>
                <w:lang w:val="en-US" w:eastAsia="zh-CN"/>
              </w:rPr>
              <w:t>4</w:t>
            </w:r>
            <w:r>
              <w:rPr>
                <w:rFonts w:hint="eastAsia" w:ascii="宋体" w:hAnsi="宋体"/>
              </w:rPr>
              <w:t>年</w:t>
            </w:r>
          </w:p>
        </w:tc>
        <w:tc>
          <w:tcPr>
            <w:tcW w:w="10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201</w:t>
            </w:r>
            <w:r>
              <w:rPr>
                <w:rFonts w:hint="eastAsia" w:ascii="宋体" w:hAnsi="宋体"/>
                <w:lang w:val="en-US" w:eastAsia="zh-CN"/>
              </w:rPr>
              <w:t>5</w:t>
            </w:r>
            <w:r>
              <w:rPr>
                <w:rFonts w:hint="eastAsia" w:ascii="宋体" w:hAnsi="宋体"/>
              </w:rPr>
              <w:t>年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201</w:t>
            </w:r>
            <w:r>
              <w:rPr>
                <w:rFonts w:hint="eastAsia" w:ascii="宋体" w:hAnsi="宋体"/>
                <w:lang w:val="en-US" w:eastAsia="zh-CN"/>
              </w:rPr>
              <w:t>6</w:t>
            </w:r>
            <w:r>
              <w:rPr>
                <w:rFonts w:hint="eastAsia" w:ascii="宋体" w:hAnsi="宋体"/>
              </w:rPr>
              <w:t>年</w:t>
            </w: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201</w:t>
            </w:r>
            <w:r>
              <w:rPr>
                <w:rFonts w:hint="eastAsia" w:ascii="宋体" w:hAnsi="宋体"/>
                <w:lang w:val="en-US" w:eastAsia="zh-CN"/>
              </w:rPr>
              <w:t>7</w:t>
            </w:r>
            <w:r>
              <w:rPr>
                <w:rFonts w:hint="eastAsia" w:ascii="宋体" w:hAnsi="宋体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</w:trPr>
        <w:tc>
          <w:tcPr>
            <w:tcW w:w="1264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72" w:type="dxa"/>
            <w:gridSpan w:val="1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合格</w:t>
            </w:r>
          </w:p>
        </w:tc>
        <w:tc>
          <w:tcPr>
            <w:tcW w:w="9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</w:t>
            </w:r>
          </w:p>
        </w:tc>
        <w:tc>
          <w:tcPr>
            <w:tcW w:w="10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合格</w:t>
            </w: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2554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担任学术团体职务或社会兼职及个人联系方式</w:t>
            </w:r>
          </w:p>
        </w:tc>
        <w:tc>
          <w:tcPr>
            <w:tcW w:w="8122" w:type="dxa"/>
            <w:gridSpan w:val="2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无</w:t>
            </w:r>
          </w:p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联系方式：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159373682565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2" w:hRule="exact"/>
        </w:trPr>
        <w:tc>
          <w:tcPr>
            <w:tcW w:w="7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9963" w:type="dxa"/>
            <w:gridSpan w:val="30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1999.03-2006.06  在河南省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新乡市</w:t>
            </w:r>
            <w:r>
              <w:rPr>
                <w:rFonts w:hint="eastAsia" w:ascii="宋体" w:hAnsi="宋体"/>
                <w:sz w:val="18"/>
                <w:szCs w:val="18"/>
              </w:rPr>
              <w:t>实验中学从事教学与科研工作</w:t>
            </w:r>
          </w:p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2006.09-2009.06  在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河南师范大学马克思主义</w:t>
            </w:r>
            <w:r>
              <w:rPr>
                <w:rFonts w:hint="eastAsia" w:ascii="宋体" w:hAnsi="宋体"/>
                <w:sz w:val="18"/>
                <w:szCs w:val="18"/>
              </w:rPr>
              <w:t>学院攻读硕士学位</w:t>
            </w:r>
          </w:p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2009.09-至今     在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新乡学院</w:t>
            </w:r>
            <w:r>
              <w:rPr>
                <w:rFonts w:hint="eastAsia" w:ascii="宋体" w:hAnsi="宋体"/>
                <w:sz w:val="18"/>
                <w:szCs w:val="18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1" w:hRule="atLeast"/>
        </w:trPr>
        <w:tc>
          <w:tcPr>
            <w:tcW w:w="7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任现职以来教育教学方面获奖情况</w:t>
            </w:r>
          </w:p>
          <w:p>
            <w:pPr>
              <w:rPr>
                <w:rFonts w:hint="eastAsia" w:ascii="宋体" w:hAnsi="宋体"/>
              </w:rPr>
            </w:pPr>
          </w:p>
        </w:tc>
        <w:tc>
          <w:tcPr>
            <w:tcW w:w="9963" w:type="dxa"/>
            <w:gridSpan w:val="30"/>
            <w:noWrap w:val="0"/>
            <w:vAlign w:val="top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1.2012年9月荣获河南省教育厅育优质课教学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宋体" w:hAnsi="宋体"/>
                <w:sz w:val="18"/>
                <w:szCs w:val="18"/>
              </w:rPr>
              <w:t>等奖；</w:t>
            </w:r>
          </w:p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2.2013年9月荣获河南省教育厅2013年度高等教育组--多媒体课件三等奖； </w:t>
            </w:r>
          </w:p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3.2011-2012学年获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新乡学院</w:t>
            </w:r>
            <w:r>
              <w:rPr>
                <w:rFonts w:hint="eastAsia" w:ascii="宋体" w:hAnsi="宋体"/>
                <w:sz w:val="18"/>
                <w:szCs w:val="18"/>
              </w:rPr>
              <w:t>学校"文明教师"荣誉称号；</w:t>
            </w:r>
          </w:p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4.2012-2013学年获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新乡学院</w:t>
            </w:r>
            <w:r>
              <w:rPr>
                <w:rFonts w:hint="eastAsia" w:ascii="宋体" w:hAnsi="宋体"/>
                <w:sz w:val="18"/>
                <w:szCs w:val="18"/>
              </w:rPr>
              <w:t>学校"优秀教师"荣誉称号；</w:t>
            </w:r>
          </w:p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5.2013年6月获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新乡学院</w:t>
            </w:r>
            <w:r>
              <w:rPr>
                <w:rFonts w:hint="eastAsia" w:ascii="宋体" w:hAnsi="宋体"/>
                <w:sz w:val="18"/>
                <w:szCs w:val="18"/>
              </w:rPr>
              <w:t>2012年度"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优秀教育工作者</w:t>
            </w:r>
            <w:r>
              <w:rPr>
                <w:rFonts w:hint="eastAsia" w:ascii="宋体" w:hAnsi="宋体"/>
                <w:sz w:val="18"/>
                <w:szCs w:val="18"/>
              </w:rPr>
              <w:t>"荣誉称号；</w:t>
            </w:r>
          </w:p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6.2012年6月荣获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新乡学院</w:t>
            </w:r>
            <w:r>
              <w:rPr>
                <w:rFonts w:hint="eastAsia" w:ascii="宋体" w:hAnsi="宋体"/>
                <w:sz w:val="18"/>
                <w:szCs w:val="18"/>
              </w:rPr>
              <w:t>优质课比赛二等奖；</w:t>
            </w:r>
          </w:p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7.2012年6月荣获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新乡学院</w:t>
            </w:r>
            <w:r>
              <w:rPr>
                <w:rFonts w:hint="eastAsia" w:ascii="宋体" w:hAnsi="宋体"/>
                <w:sz w:val="18"/>
                <w:szCs w:val="18"/>
              </w:rPr>
              <w:t>多媒体课件比赛二等奖；</w:t>
            </w:r>
          </w:p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8.2013-2014学年获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新乡学院</w:t>
            </w:r>
            <w:r>
              <w:rPr>
                <w:rFonts w:hint="eastAsia" w:ascii="宋体" w:hAnsi="宋体"/>
                <w:sz w:val="18"/>
                <w:szCs w:val="18"/>
              </w:rPr>
              <w:t>学校"文明教师"荣誉称号；</w:t>
            </w:r>
          </w:p>
          <w:p>
            <w:pPr>
              <w:ind w:firstLine="180" w:firstLineChars="1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9.2015-2016学年获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新乡学院</w:t>
            </w:r>
            <w:r>
              <w:rPr>
                <w:rFonts w:hint="eastAsia" w:ascii="宋体" w:hAnsi="宋体"/>
                <w:sz w:val="18"/>
                <w:szCs w:val="18"/>
              </w:rPr>
              <w:t>学校"三育人"先进个人荣誉称号；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</w:t>
      </w:r>
      <w:r>
        <w:rPr>
          <w:rFonts w:hint="eastAsia"/>
          <w:b/>
          <w:bCs/>
          <w:sz w:val="28"/>
          <w:szCs w:val="28"/>
          <w:lang w:eastAsia="zh-CN"/>
        </w:rPr>
        <w:t>人事审核填报信息栏</w:t>
      </w:r>
    </w:p>
    <w:p>
      <w:pP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</w:pPr>
    </w:p>
    <w:p>
      <w:pPr>
        <w:tabs>
          <w:tab w:val="left" w:pos="6148"/>
        </w:tabs>
        <w:jc w:val="left"/>
        <w:rPr>
          <w:rFonts w:hint="eastAsia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cs="Times New Roman"/>
          <w:kern w:val="2"/>
          <w:sz w:val="28"/>
          <w:szCs w:val="28"/>
          <w:lang w:val="en-US" w:eastAsia="zh-CN" w:bidi="ar-SA"/>
        </w:rPr>
        <w:tab/>
      </w:r>
    </w:p>
    <w:p>
      <w:pPr>
        <w:tabs>
          <w:tab w:val="left" w:pos="6148"/>
        </w:tabs>
        <w:jc w:val="left"/>
        <w:rPr>
          <w:rFonts w:hint="eastAsia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cs="Times New Roman"/>
          <w:kern w:val="2"/>
          <w:sz w:val="28"/>
          <w:szCs w:val="28"/>
          <w:lang w:val="en-US" w:eastAsia="zh-CN" w:bidi="ar-SA"/>
        </w:rPr>
        <w:br w:type="page"/>
      </w:r>
    </w:p>
    <w:p>
      <w:pPr>
        <w:tabs>
          <w:tab w:val="left" w:pos="6148"/>
        </w:tabs>
        <w:jc w:val="center"/>
        <w:rPr>
          <w:rFonts w:hint="eastAsia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cs="Times New Roman"/>
          <w:b/>
          <w:bCs/>
          <w:kern w:val="2"/>
          <w:sz w:val="28"/>
          <w:szCs w:val="28"/>
          <w:lang w:val="en-US" w:eastAsia="zh-CN" w:bidi="ar-SA"/>
        </w:rPr>
        <w:t>二、教务处审核填报信息栏</w:t>
      </w:r>
    </w:p>
    <w:p>
      <w:pPr>
        <w:tabs>
          <w:tab w:val="left" w:pos="6148"/>
        </w:tabs>
        <w:jc w:val="left"/>
        <w:rPr>
          <w:rFonts w:hint="eastAsia" w:cs="Times New Roman"/>
          <w:kern w:val="2"/>
          <w:sz w:val="28"/>
          <w:szCs w:val="28"/>
          <w:lang w:val="en-US" w:eastAsia="zh-CN" w:bidi="ar-SA"/>
        </w:rPr>
      </w:pPr>
    </w:p>
    <w:tbl>
      <w:tblPr>
        <w:tblStyle w:val="3"/>
        <w:tblW w:w="100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2713"/>
        <w:gridCol w:w="4600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1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任现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职以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来教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学任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务完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成情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27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  止  时  间</w:t>
            </w:r>
          </w:p>
        </w:tc>
        <w:tc>
          <w:tcPr>
            <w:tcW w:w="4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课     程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课 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</w:trPr>
        <w:tc>
          <w:tcPr>
            <w:tcW w:w="1173" w:type="dxa"/>
            <w:vMerge w:val="continue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/>
              </w:rPr>
            </w:pPr>
          </w:p>
        </w:tc>
        <w:tc>
          <w:tcPr>
            <w:tcW w:w="2713" w:type="dxa"/>
            <w:vMerge w:val="restart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201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年9月-201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年7月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201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年9月-201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  <w:szCs w:val="18"/>
              </w:rPr>
              <w:t>年7月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201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  <w:szCs w:val="18"/>
              </w:rPr>
              <w:t>年9月-201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  <w:szCs w:val="18"/>
              </w:rPr>
              <w:t>年7月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201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  <w:szCs w:val="18"/>
              </w:rPr>
              <w:t>年9月-201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18"/>
                <w:szCs w:val="18"/>
              </w:rPr>
              <w:t>年7月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</w:t>
            </w:r>
          </w:p>
        </w:tc>
        <w:tc>
          <w:tcPr>
            <w:tcW w:w="4600" w:type="dxa"/>
            <w:vMerge w:val="restart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《形势与政策》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《形势与政策》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《毛泽东思想和中国特色社会主义理论体系概论》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《毛泽东思想和中国特色社会主义理论体系概论》</w:t>
            </w:r>
          </w:p>
        </w:tc>
        <w:tc>
          <w:tcPr>
            <w:tcW w:w="1596" w:type="dxa"/>
            <w:vMerge w:val="restart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615学时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609学时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580学时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475学时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</w:trPr>
        <w:tc>
          <w:tcPr>
            <w:tcW w:w="1173" w:type="dxa"/>
            <w:vMerge w:val="continue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/>
              </w:rPr>
            </w:pPr>
          </w:p>
        </w:tc>
        <w:tc>
          <w:tcPr>
            <w:tcW w:w="2713" w:type="dxa"/>
            <w:vMerge w:val="continue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/>
              </w:rPr>
            </w:pPr>
          </w:p>
        </w:tc>
        <w:tc>
          <w:tcPr>
            <w:tcW w:w="4600" w:type="dxa"/>
            <w:vMerge w:val="continue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/>
              </w:rPr>
            </w:pPr>
          </w:p>
        </w:tc>
        <w:tc>
          <w:tcPr>
            <w:tcW w:w="1596" w:type="dxa"/>
            <w:vMerge w:val="continue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</w:trPr>
        <w:tc>
          <w:tcPr>
            <w:tcW w:w="1173" w:type="dxa"/>
            <w:vMerge w:val="continue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/>
              </w:rPr>
            </w:pPr>
          </w:p>
        </w:tc>
        <w:tc>
          <w:tcPr>
            <w:tcW w:w="2713" w:type="dxa"/>
            <w:vMerge w:val="continue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/>
              </w:rPr>
            </w:pPr>
          </w:p>
        </w:tc>
        <w:tc>
          <w:tcPr>
            <w:tcW w:w="4600" w:type="dxa"/>
            <w:vMerge w:val="continue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/>
              </w:rPr>
            </w:pPr>
          </w:p>
        </w:tc>
        <w:tc>
          <w:tcPr>
            <w:tcW w:w="1596" w:type="dxa"/>
            <w:vMerge w:val="continue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</w:trPr>
        <w:tc>
          <w:tcPr>
            <w:tcW w:w="1173" w:type="dxa"/>
            <w:vMerge w:val="continue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/>
              </w:rPr>
            </w:pPr>
          </w:p>
        </w:tc>
        <w:tc>
          <w:tcPr>
            <w:tcW w:w="2713" w:type="dxa"/>
            <w:vMerge w:val="continue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/>
              </w:rPr>
            </w:pPr>
          </w:p>
        </w:tc>
        <w:tc>
          <w:tcPr>
            <w:tcW w:w="4600" w:type="dxa"/>
            <w:vMerge w:val="continue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/>
              </w:rPr>
            </w:pPr>
          </w:p>
        </w:tc>
        <w:tc>
          <w:tcPr>
            <w:tcW w:w="1596" w:type="dxa"/>
            <w:vMerge w:val="continue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</w:trPr>
        <w:tc>
          <w:tcPr>
            <w:tcW w:w="1173" w:type="dxa"/>
            <w:vMerge w:val="continue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/>
              </w:rPr>
            </w:pPr>
          </w:p>
        </w:tc>
        <w:tc>
          <w:tcPr>
            <w:tcW w:w="2713" w:type="dxa"/>
            <w:vMerge w:val="continue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/>
              </w:rPr>
            </w:pPr>
          </w:p>
        </w:tc>
        <w:tc>
          <w:tcPr>
            <w:tcW w:w="4600" w:type="dxa"/>
            <w:vMerge w:val="continue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/>
              </w:rPr>
            </w:pPr>
          </w:p>
        </w:tc>
        <w:tc>
          <w:tcPr>
            <w:tcW w:w="1596" w:type="dxa"/>
            <w:vMerge w:val="continue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</w:trPr>
        <w:tc>
          <w:tcPr>
            <w:tcW w:w="1173" w:type="dxa"/>
            <w:vMerge w:val="continue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/>
              </w:rPr>
            </w:pPr>
          </w:p>
        </w:tc>
        <w:tc>
          <w:tcPr>
            <w:tcW w:w="2713" w:type="dxa"/>
            <w:vMerge w:val="continue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/>
              </w:rPr>
            </w:pPr>
          </w:p>
        </w:tc>
        <w:tc>
          <w:tcPr>
            <w:tcW w:w="4600" w:type="dxa"/>
            <w:vMerge w:val="continue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/>
              </w:rPr>
            </w:pPr>
          </w:p>
        </w:tc>
        <w:tc>
          <w:tcPr>
            <w:tcW w:w="1596" w:type="dxa"/>
            <w:vMerge w:val="continue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</w:trPr>
        <w:tc>
          <w:tcPr>
            <w:tcW w:w="1173" w:type="dxa"/>
            <w:vMerge w:val="continue"/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2713" w:type="dxa"/>
            <w:vMerge w:val="continue"/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4600" w:type="dxa"/>
            <w:vMerge w:val="continue"/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596" w:type="dxa"/>
            <w:vMerge w:val="continue"/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</w:trPr>
        <w:tc>
          <w:tcPr>
            <w:tcW w:w="1173" w:type="dxa"/>
            <w:vMerge w:val="continue"/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2713" w:type="dxa"/>
            <w:vMerge w:val="continue"/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4600" w:type="dxa"/>
            <w:vMerge w:val="continue"/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596" w:type="dxa"/>
            <w:vMerge w:val="continue"/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</w:trPr>
        <w:tc>
          <w:tcPr>
            <w:tcW w:w="1173" w:type="dxa"/>
            <w:vMerge w:val="continue"/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2713" w:type="dxa"/>
            <w:vMerge w:val="continue"/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4600" w:type="dxa"/>
            <w:vMerge w:val="continue"/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596" w:type="dxa"/>
            <w:vMerge w:val="continue"/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</w:trPr>
        <w:tc>
          <w:tcPr>
            <w:tcW w:w="1173" w:type="dxa"/>
            <w:vMerge w:val="continue"/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2713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60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</w:trPr>
        <w:tc>
          <w:tcPr>
            <w:tcW w:w="1173" w:type="dxa"/>
            <w:vMerge w:val="continue"/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2713" w:type="dxa"/>
            <w:vMerge w:val="continue"/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4600" w:type="dxa"/>
            <w:vMerge w:val="continue"/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596" w:type="dxa"/>
            <w:vMerge w:val="continue"/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7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90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年均课时数 569.8学时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2" w:hRule="exact"/>
        </w:trPr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效果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评估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909" w:type="dxa"/>
            <w:gridSpan w:val="3"/>
            <w:noWrap w:val="0"/>
            <w:vAlign w:val="top"/>
          </w:tcPr>
          <w:p>
            <w:pPr>
              <w:spacing w:line="440" w:lineRule="exact"/>
              <w:ind w:firstLine="360" w:firstLineChars="20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经综合评定，教学效果良好，其中20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2015,2015-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学年的教学质量考评为优秀，其他均为良好。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1" w:hRule="atLeast"/>
        </w:trPr>
        <w:tc>
          <w:tcPr>
            <w:tcW w:w="117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</w:t>
            </w:r>
          </w:p>
          <w:p>
            <w:pPr>
              <w:adjustRightInd w:val="0"/>
              <w:snapToGrid w:val="0"/>
              <w:ind w:left="240" w:hanging="240" w:hanging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（专业）建设、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</w:t>
            </w:r>
          </w:p>
          <w:p>
            <w:pPr>
              <w:adjustRightInd w:val="0"/>
              <w:snapToGrid w:val="0"/>
              <w:ind w:left="240" w:hanging="240" w:hanging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</w:t>
            </w:r>
          </w:p>
          <w:p>
            <w:pPr>
              <w:adjustRightInd w:val="0"/>
              <w:snapToGrid w:val="0"/>
              <w:ind w:left="240" w:hanging="240" w:hanging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生、青</w:t>
            </w:r>
          </w:p>
          <w:p>
            <w:pPr>
              <w:adjustRightInd w:val="0"/>
              <w:snapToGrid w:val="0"/>
              <w:ind w:left="240" w:hanging="240" w:hanging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年教</w:t>
            </w:r>
          </w:p>
          <w:p>
            <w:pPr>
              <w:adjustRightInd w:val="0"/>
              <w:snapToGrid w:val="0"/>
              <w:ind w:left="239" w:leftChars="114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师情况</w:t>
            </w:r>
          </w:p>
        </w:tc>
        <w:tc>
          <w:tcPr>
            <w:tcW w:w="8909" w:type="dxa"/>
            <w:gridSpan w:val="3"/>
            <w:noWrap w:val="0"/>
            <w:vAlign w:val="top"/>
          </w:tcPr>
          <w:p>
            <w:pPr>
              <w:ind w:firstLine="316" w:firstLineChars="1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450" w:firstLineChars="2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多年来，在教学和科研工作中，认真备课，积极参加科研工作，以“教学促科研，以科研促教学”，积极组织并参与听课、说课、评课工作，博采众长，提高个人人的教育教学能了和科研水平。同时注意对思政教学团队的培养，积极参与学校组织实施的“青蓝工程”，担任带教教师，与青年教师结成对子，以自己的模范带头作用对青年教师进行“传、帮、带”，在专业知识、技能上给与启示，在备课教法上给予指导，在生活上给予关心，并积极带领青年教师开展科研工作，培育多名青年教师成为教学骨干，并获教学、科研成果奖多项。</w:t>
            </w:r>
          </w:p>
          <w:p>
            <w:pPr>
              <w:ind w:firstLine="422" w:firstLineChars="200"/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tabs>
          <w:tab w:val="left" w:pos="6148"/>
        </w:tabs>
        <w:jc w:val="left"/>
        <w:rPr>
          <w:rFonts w:hint="eastAsia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cs="Times New Roman"/>
          <w:kern w:val="2"/>
          <w:sz w:val="28"/>
          <w:szCs w:val="28"/>
          <w:lang w:val="en-US" w:eastAsia="zh-CN" w:bidi="ar-SA"/>
        </w:rPr>
        <w:br w:type="page"/>
      </w:r>
    </w:p>
    <w:p>
      <w:pPr>
        <w:tabs>
          <w:tab w:val="left" w:pos="6148"/>
        </w:tabs>
        <w:jc w:val="center"/>
        <w:rPr>
          <w:rFonts w:hint="eastAsia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cs="Times New Roman"/>
          <w:b/>
          <w:bCs/>
          <w:kern w:val="2"/>
          <w:sz w:val="28"/>
          <w:szCs w:val="28"/>
          <w:lang w:val="en-US" w:eastAsia="zh-CN" w:bidi="ar-SA"/>
        </w:rPr>
        <w:t>三、科研审核填报信息栏</w:t>
      </w:r>
    </w:p>
    <w:tbl>
      <w:tblPr>
        <w:tblStyle w:val="3"/>
        <w:tblW w:w="100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639"/>
        <w:gridCol w:w="218"/>
        <w:gridCol w:w="3154"/>
        <w:gridCol w:w="3583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842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研究</w:t>
            </w:r>
          </w:p>
          <w:p>
            <w:pPr>
              <w:spacing w:line="3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方向</w:t>
            </w:r>
          </w:p>
        </w:tc>
        <w:tc>
          <w:tcPr>
            <w:tcW w:w="9240" w:type="dxa"/>
            <w:gridSpan w:val="5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马克思主义理论与思想政治教育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240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8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任现职以来发表出版的 本专业代表性论文</w:t>
            </w:r>
          </w:p>
        </w:tc>
        <w:tc>
          <w:tcPr>
            <w:tcW w:w="40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论文题目（论文限填10篇以内）</w:t>
            </w:r>
          </w:p>
        </w:tc>
        <w:tc>
          <w:tcPr>
            <w:tcW w:w="3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何时何刊物（刊号）发表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 w:val="0"/>
                <w:bCs/>
              </w:rPr>
              <w:t>名次、字数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8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3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鉴定论文</w:t>
            </w:r>
          </w:p>
        </w:tc>
        <w:tc>
          <w:tcPr>
            <w:tcW w:w="3372" w:type="dxa"/>
            <w:gridSpan w:val="2"/>
            <w:vMerge w:val="restart"/>
            <w:noWrap w:val="0"/>
            <w:vAlign w:val="top"/>
          </w:tcPr>
          <w:p>
            <w:pPr>
              <w:spacing w:line="300" w:lineRule="exact"/>
              <w:ind w:left="180" w:hanging="180" w:hangingChars="100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青少年理解和践行社会主义核心价值观的路径</w:t>
            </w:r>
            <w:r>
              <w:rPr>
                <w:rFonts w:hint="eastAsia"/>
                <w:sz w:val="18"/>
                <w:szCs w:val="18"/>
                <w:lang w:eastAsia="zh-CN"/>
              </w:rPr>
              <w:t>（副高一篇鉴定论文，正高两篇鉴定论文）</w:t>
            </w:r>
          </w:p>
          <w:p>
            <w:pPr>
              <w:spacing w:line="300" w:lineRule="exact"/>
              <w:ind w:left="211" w:hanging="211" w:hangingChars="100"/>
              <w:rPr>
                <w:rFonts w:hint="eastAsia" w:ascii="宋体" w:hAnsi="宋体"/>
                <w:b/>
                <w:color w:val="FF0000"/>
              </w:rPr>
            </w:pPr>
          </w:p>
          <w:p>
            <w:pPr>
              <w:spacing w:line="300" w:lineRule="exact"/>
              <w:ind w:left="210" w:hanging="210" w:hangingChars="100"/>
              <w:rPr>
                <w:rFonts w:hint="eastAsia" w:ascii="宋体" w:hAnsi="宋体"/>
              </w:rPr>
            </w:pPr>
          </w:p>
        </w:tc>
        <w:tc>
          <w:tcPr>
            <w:tcW w:w="3583" w:type="dxa"/>
            <w:vMerge w:val="restart"/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2015.08《中学政治教学参考》 </w:t>
            </w:r>
          </w:p>
          <w:p>
            <w:pPr>
              <w:rPr>
                <w:rFonts w:hint="eastAsia" w:ascii="宋体" w:hAnsi="宋体"/>
                <w:b w:val="0"/>
                <w:bCs w:val="0"/>
                <w:snapToGrid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 xml:space="preserve">CN15-1142/C </w:t>
            </w:r>
            <w:r>
              <w:rPr>
                <w:rFonts w:hint="eastAsia" w:ascii="宋体" w:hAnsi="宋体"/>
                <w:b w:val="0"/>
                <w:bCs w:val="0"/>
                <w:snapToGrid w:val="0"/>
                <w:sz w:val="18"/>
                <w:szCs w:val="18"/>
              </w:rPr>
              <w:t>（中文核心期刊）</w:t>
            </w:r>
          </w:p>
          <w:p>
            <w:pPr>
              <w:spacing w:line="300" w:lineRule="exact"/>
              <w:ind w:left="105" w:hanging="105" w:hangingChars="50"/>
              <w:rPr>
                <w:rFonts w:ascii="宋体" w:hAnsi="宋体"/>
                <w:b w:val="0"/>
                <w:bCs w:val="0"/>
                <w:snapToGrid w:val="0"/>
                <w:szCs w:val="21"/>
              </w:rPr>
            </w:pPr>
          </w:p>
          <w:p>
            <w:pPr>
              <w:spacing w:line="300" w:lineRule="exact"/>
              <w:ind w:left="105" w:hanging="105" w:hangingChars="50"/>
              <w:rPr>
                <w:rFonts w:hint="eastAsia" w:ascii="宋体" w:hAnsi="宋体"/>
                <w:b w:val="0"/>
                <w:bCs w:val="0"/>
                <w:snapToGrid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napToGrid w:val="0"/>
                <w:szCs w:val="21"/>
              </w:rPr>
              <w:t xml:space="preserve"> </w:t>
            </w:r>
          </w:p>
        </w:tc>
        <w:tc>
          <w:tcPr>
            <w:tcW w:w="1646" w:type="dxa"/>
            <w:vMerge w:val="restart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独著  6500字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84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63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372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58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164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4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63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372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58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</w:rPr>
            </w:pPr>
          </w:p>
        </w:tc>
        <w:tc>
          <w:tcPr>
            <w:tcW w:w="164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84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4011" w:type="dxa"/>
            <w:gridSpan w:val="3"/>
            <w:vMerge w:val="restart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2."中国梦"的相关理论及实现路径探究 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3.农村移居城市青少年"价值观自信"的凝练与养成 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4.借鉴中华优秀传统文化培育践行社会主义核心价值观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5.社会主义核心价值体系融入高校学生档案管理的长效机制探析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6.论中华优秀传统文化与社会主义核心价值观的内在联系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7.高职高专医德教育模式的“三个维度”基点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8.培养青少年高尚道德情操教育探微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9.生态哲学如何转向生活世界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10.基于网络文化平台的大学生社会主义核心价值观教育探析</w:t>
            </w:r>
          </w:p>
          <w:p>
            <w:pPr>
              <w:spacing w:line="240" w:lineRule="exac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另有两篇</w:t>
            </w:r>
            <w:r>
              <w:rPr>
                <w:rFonts w:hint="eastAsia" w:ascii="宋体" w:hAnsi="宋体"/>
                <w:b w:val="0"/>
                <w:bCs w:val="0"/>
                <w:snapToGrid w:val="0"/>
                <w:sz w:val="18"/>
                <w:szCs w:val="18"/>
              </w:rPr>
              <w:t>中文核心期刊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文章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eastAsia="zh-CN"/>
              </w:rPr>
              <w:t>，共计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12篇。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（以上论文均需符合所报系列的参评条件，填写时请删除此内容）</w:t>
            </w:r>
          </w:p>
        </w:tc>
        <w:tc>
          <w:tcPr>
            <w:tcW w:w="3583" w:type="dxa"/>
            <w:vMerge w:val="restart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2016.08《社科纵横》CN62-1110/C</w:t>
            </w:r>
          </w:p>
          <w:p>
            <w:pPr>
              <w:spacing w:line="240" w:lineRule="exact"/>
              <w:rPr>
                <w:rFonts w:hint="eastAsia" w:ascii="宋体" w:hAnsi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snapToGrid w:val="0"/>
                <w:sz w:val="18"/>
                <w:szCs w:val="18"/>
              </w:rPr>
              <w:t>中文核心期刊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）</w:t>
            </w:r>
          </w:p>
          <w:p>
            <w:pPr>
              <w:spacing w:line="240" w:lineRule="exact"/>
              <w:rPr>
                <w:rFonts w:hint="eastAsia" w:ascii="宋体" w:hAnsi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2016.07《社科纵横》CN62-1110/C</w:t>
            </w:r>
          </w:p>
          <w:p>
            <w:pPr>
              <w:spacing w:line="240" w:lineRule="exact"/>
              <w:rPr>
                <w:rFonts w:hint="eastAsia" w:ascii="宋体" w:hAnsi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snapToGrid w:val="0"/>
                <w:sz w:val="18"/>
                <w:szCs w:val="18"/>
              </w:rPr>
              <w:t>中文核心期刊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）</w:t>
            </w:r>
          </w:p>
          <w:p>
            <w:pPr>
              <w:spacing w:line="240" w:lineRule="exact"/>
              <w:rPr>
                <w:rFonts w:hint="eastAsia" w:ascii="宋体" w:hAnsi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2016.02《北京工业职业技术学院学报》CN11-4808/G4</w:t>
            </w:r>
          </w:p>
          <w:p>
            <w:pPr>
              <w:spacing w:line="240" w:lineRule="exact"/>
              <w:rPr>
                <w:rFonts w:hint="eastAsia" w:ascii="宋体" w:hAnsi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snapToGrid w:val="0"/>
                <w:sz w:val="18"/>
                <w:szCs w:val="18"/>
              </w:rPr>
              <w:t>中文核心期刊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）</w:t>
            </w:r>
          </w:p>
          <w:p>
            <w:pPr>
              <w:spacing w:line="240" w:lineRule="exact"/>
              <w:rPr>
                <w:rFonts w:hint="eastAsia" w:ascii="宋体" w:hAnsi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2015.06《商丘职业技术学院学报》CN23-1487/C</w:t>
            </w:r>
          </w:p>
          <w:p>
            <w:pPr>
              <w:spacing w:line="240" w:lineRule="exact"/>
              <w:rPr>
                <w:rFonts w:hint="eastAsia" w:ascii="宋体" w:hAnsi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snapToGrid w:val="0"/>
                <w:sz w:val="18"/>
                <w:szCs w:val="18"/>
              </w:rPr>
              <w:t>中文核心期刊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）</w:t>
            </w:r>
          </w:p>
          <w:p>
            <w:pPr>
              <w:spacing w:line="240" w:lineRule="exact"/>
              <w:rPr>
                <w:rFonts w:hint="eastAsia" w:ascii="宋体" w:hAnsi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2016.01《广东水利电力职业技术学院学报》 CN44-1587/Z</w:t>
            </w:r>
          </w:p>
          <w:p>
            <w:pPr>
              <w:spacing w:line="240" w:lineRule="exact"/>
              <w:rPr>
                <w:rFonts w:hint="eastAsia" w:ascii="宋体" w:hAnsi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snapToGrid w:val="0"/>
                <w:sz w:val="18"/>
                <w:szCs w:val="18"/>
              </w:rPr>
              <w:t>中文核心期刊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）</w:t>
            </w:r>
          </w:p>
          <w:p>
            <w:pPr>
              <w:spacing w:line="240" w:lineRule="exact"/>
              <w:rPr>
                <w:rFonts w:hint="eastAsia" w:ascii="宋体" w:hAnsi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2015.08《辽宁医学院学报（社会科学版）》 CN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21-1553/C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snapToGrid w:val="0"/>
                <w:sz w:val="18"/>
                <w:szCs w:val="18"/>
              </w:rPr>
              <w:t>中文核心期刊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）</w:t>
            </w:r>
          </w:p>
          <w:p>
            <w:pPr>
              <w:spacing w:line="240" w:lineRule="exact"/>
              <w:rPr>
                <w:rFonts w:hint="eastAsia" w:ascii="宋体" w:hAnsi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2016.01《张家口职业技术学院学报》 CN13-1248/G4（</w:t>
            </w:r>
            <w:r>
              <w:rPr>
                <w:rFonts w:hint="eastAsia" w:ascii="宋体" w:hAnsi="宋体"/>
                <w:b w:val="0"/>
                <w:bCs w:val="0"/>
                <w:snapToGrid w:val="0"/>
                <w:sz w:val="18"/>
                <w:szCs w:val="18"/>
              </w:rPr>
              <w:t>中文核心期刊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）</w:t>
            </w:r>
          </w:p>
          <w:p>
            <w:pPr>
              <w:spacing w:line="240" w:lineRule="exact"/>
              <w:rPr>
                <w:rFonts w:hint="eastAsia" w:ascii="宋体" w:hAnsi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2015.08《漯河职业技术学院学报》</w:t>
            </w:r>
          </w:p>
          <w:p>
            <w:pPr>
              <w:spacing w:line="240" w:lineRule="exact"/>
              <w:rPr>
                <w:rFonts w:hint="eastAsia" w:ascii="宋体" w:hAnsi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CN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41-1330/Z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snapToGrid w:val="0"/>
                <w:sz w:val="18"/>
                <w:szCs w:val="18"/>
              </w:rPr>
              <w:t>中文核心期刊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）</w:t>
            </w:r>
          </w:p>
          <w:p>
            <w:pPr>
              <w:spacing w:line="240" w:lineRule="exact"/>
              <w:rPr>
                <w:rFonts w:hint="eastAsia" w:ascii="宋体" w:hAnsi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2015.08《法制博览》</w:t>
            </w:r>
          </w:p>
          <w:p>
            <w:pPr>
              <w:spacing w:line="240" w:lineRule="exact"/>
              <w:rPr>
                <w:rFonts w:hint="eastAsia" w:ascii="宋体" w:hAnsi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CN</w:t>
            </w:r>
            <w:r>
              <w:rPr>
                <w:rFonts w:ascii="宋体" w:hAnsi="宋体"/>
                <w:b w:val="0"/>
                <w:bCs w:val="0"/>
                <w:sz w:val="18"/>
                <w:szCs w:val="18"/>
              </w:rPr>
              <w:t>14-1188/D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snapToGrid w:val="0"/>
                <w:sz w:val="18"/>
                <w:szCs w:val="18"/>
              </w:rPr>
              <w:t>中文核心期刊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）</w:t>
            </w:r>
          </w:p>
          <w:p>
            <w:pPr>
              <w:spacing w:line="280" w:lineRule="exact"/>
              <w:ind w:left="-79" w:leftChars="-552" w:hanging="1080" w:hangingChars="600"/>
              <w:jc w:val="left"/>
              <w:rPr>
                <w:rFonts w:hint="eastAsia" w:ascii="宋体" w:hAnsi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46" w:type="dxa"/>
            <w:vMerge w:val="restart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独著  8300字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独著  5300字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独著  6200字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第一作者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6600字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独著  5800字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独著  6600字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独著  4800字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独著  5200字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独著  5000字</w:t>
            </w:r>
          </w:p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84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4011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58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64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84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4011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58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64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84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4011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58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64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1" w:hRule="atLeast"/>
        </w:trPr>
        <w:tc>
          <w:tcPr>
            <w:tcW w:w="84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4011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58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64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</w:trPr>
        <w:tc>
          <w:tcPr>
            <w:tcW w:w="84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4011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58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64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69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论文外审意见</w:t>
            </w:r>
          </w:p>
        </w:tc>
        <w:tc>
          <w:tcPr>
            <w:tcW w:w="838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rPr>
                <w:rFonts w:hint="eastAsia" w:ascii="宋体" w:hAnsi="宋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8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任现职以来发表出版的 本专业代表性著作</w:t>
            </w:r>
          </w:p>
        </w:tc>
        <w:tc>
          <w:tcPr>
            <w:tcW w:w="40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著作名称（限填3部以内）</w:t>
            </w:r>
          </w:p>
        </w:tc>
        <w:tc>
          <w:tcPr>
            <w:tcW w:w="3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何时何刊物（刊号）发表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名次、字数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4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4011" w:type="dxa"/>
            <w:gridSpan w:val="3"/>
            <w:noWrap w:val="0"/>
            <w:vAlign w:val="top"/>
          </w:tcPr>
          <w:p>
            <w:pPr>
              <w:spacing w:line="280" w:lineRule="exact"/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1.《马克思主义基本原理概论》</w:t>
            </w:r>
          </w:p>
          <w:p>
            <w:pPr>
              <w:spacing w:line="280" w:lineRule="exact"/>
              <w:ind w:firstLine="90" w:firstLineChars="50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80" w:lineRule="exact"/>
              <w:ind w:firstLine="90" w:firstLineChars="50"/>
              <w:rPr>
                <w:rFonts w:ascii="宋体" w:hAnsi="宋体"/>
                <w:sz w:val="18"/>
                <w:szCs w:val="18"/>
              </w:rPr>
            </w:pPr>
          </w:p>
          <w:p>
            <w:pPr>
              <w:numPr>
                <w:ilvl w:val="0"/>
                <w:numId w:val="1"/>
              </w:numPr>
              <w:spacing w:line="280" w:lineRule="exact"/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《90后大学生的价值观》</w:t>
            </w:r>
          </w:p>
          <w:p>
            <w:pPr>
              <w:numPr>
                <w:ilvl w:val="0"/>
                <w:numId w:val="0"/>
              </w:numPr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numPr>
                <w:ilvl w:val="0"/>
                <w:numId w:val="0"/>
              </w:numPr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80" w:lineRule="exact"/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sz w:val="18"/>
                <w:szCs w:val="18"/>
              </w:rPr>
              <w:t>《90后大学生的价值观》</w:t>
            </w:r>
          </w:p>
          <w:p>
            <w:pPr>
              <w:numPr>
                <w:ilvl w:val="0"/>
                <w:numId w:val="0"/>
              </w:numPr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另有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3部教材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eastAsia="zh-CN"/>
              </w:rPr>
              <w:t>，共计</w:t>
            </w:r>
            <w:r>
              <w:rPr>
                <w:rFonts w:hint="eastAsia" w:ascii="宋体" w:hAnsi="宋体"/>
                <w:b w:val="0"/>
                <w:bCs w:val="0"/>
                <w:sz w:val="18"/>
                <w:szCs w:val="18"/>
                <w:lang w:val="en-US" w:eastAsia="zh-CN"/>
              </w:rPr>
              <w:t>6部著作和教材。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（以上教材著作均需符合所报系列的参评条件，填写时请删除此内容）</w:t>
            </w:r>
          </w:p>
        </w:tc>
        <w:tc>
          <w:tcPr>
            <w:tcW w:w="3583" w:type="dxa"/>
            <w:noWrap w:val="0"/>
            <w:vAlign w:val="top"/>
          </w:tcPr>
          <w:p>
            <w:pPr>
              <w:spacing w:line="280" w:lineRule="exact"/>
              <w:ind w:left="420" w:leftChars="20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2015年、吉林大学出版社</w:t>
            </w:r>
          </w:p>
          <w:p>
            <w:pPr>
              <w:spacing w:line="280" w:lineRule="exact"/>
              <w:ind w:left="420" w:leftChars="2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ISBN978-7-5677-5118-7</w:t>
            </w:r>
          </w:p>
          <w:p>
            <w:pPr>
              <w:spacing w:line="280" w:lineRule="exact"/>
              <w:ind w:left="420" w:leftChars="200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80" w:lineRule="exact"/>
              <w:ind w:left="420" w:leftChars="20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2014年、河北人民出版社 ISBN978-7-202-08844-9</w:t>
            </w:r>
          </w:p>
          <w:p>
            <w:pPr>
              <w:spacing w:line="280" w:lineRule="exact"/>
              <w:ind w:left="420" w:leftChars="200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80" w:lineRule="exact"/>
              <w:ind w:left="420" w:leftChars="20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2014年、河北人民出版社 ISBN978-7-202-08844-9</w:t>
            </w:r>
          </w:p>
        </w:tc>
        <w:tc>
          <w:tcPr>
            <w:tcW w:w="1646" w:type="dxa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副主编  10万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副主编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  <w:szCs w:val="18"/>
              </w:rPr>
              <w:t>万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副主编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18"/>
                <w:szCs w:val="18"/>
              </w:rPr>
              <w:t>万</w:t>
            </w:r>
          </w:p>
        </w:tc>
      </w:tr>
    </w:tbl>
    <w:p>
      <w:pPr>
        <w:tabs>
          <w:tab w:val="left" w:pos="6148"/>
        </w:tabs>
        <w:jc w:val="both"/>
        <w:rPr>
          <w:rFonts w:hint="eastAsia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cs="Times New Roman"/>
          <w:b/>
          <w:bCs/>
          <w:kern w:val="2"/>
          <w:sz w:val="28"/>
          <w:szCs w:val="28"/>
          <w:lang w:val="en-US" w:eastAsia="zh-CN" w:bidi="ar-SA"/>
        </w:rPr>
        <w:br w:type="page"/>
      </w:r>
    </w:p>
    <w:tbl>
      <w:tblPr>
        <w:tblStyle w:val="3"/>
        <w:tblW w:w="100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4717"/>
        <w:gridCol w:w="3359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5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任现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职以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来科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研成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果及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获奖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情况</w:t>
            </w:r>
          </w:p>
        </w:tc>
        <w:tc>
          <w:tcPr>
            <w:tcW w:w="47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   目   名   称</w:t>
            </w:r>
          </w:p>
        </w:tc>
        <w:tc>
          <w:tcPr>
            <w:tcW w:w="33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获奖（鉴定）时间、颁奖（鉴定）单位、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奖励等级（鉴定意见）</w:t>
            </w:r>
          </w:p>
        </w:tc>
        <w:tc>
          <w:tcPr>
            <w:tcW w:w="14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主持或参加名次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58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4717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1.实现中国梦的现实路径和动力源泉研究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2.城市化进程中"农民"转"市民"问题研究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3.商丘市农民市民化问题研究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4.中华优秀传统文化与社会主义核心价值观关系研究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5.医学生生活方式调查研究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6.以社会主义核心价值观引领社会思潮研究</w:t>
            </w:r>
          </w:p>
          <w:p>
            <w:pPr>
              <w:spacing w:line="24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另有国家发明专利（第一发明人）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1项，参与2河南省省级项目1项，共计教科研成果9项。（以上成果均需符合所报系列的参评条件，填写时请删除此内容）</w:t>
            </w:r>
          </w:p>
        </w:tc>
        <w:tc>
          <w:tcPr>
            <w:tcW w:w="3359" w:type="dxa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2016.05  河南省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科技厅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结项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2013.12 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河南省教育厅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结项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2012.06 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河南省社会科学优秀成果奖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一等奖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2016.04 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河南省教育厅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一等奖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2015.08 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河南省科技厅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结项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2013.12 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河南省科技厅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结项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spacing w:line="240" w:lineRule="exact"/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主持</w:t>
            </w:r>
          </w:p>
          <w:p>
            <w:pPr>
              <w:spacing w:line="240" w:lineRule="exact"/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主持</w:t>
            </w:r>
          </w:p>
          <w:p>
            <w:pPr>
              <w:spacing w:line="240" w:lineRule="exact"/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ind w:firstLine="180" w:firstLineChars="100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第二名</w:t>
            </w:r>
          </w:p>
          <w:p>
            <w:pPr>
              <w:spacing w:line="240" w:lineRule="exact"/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主持</w:t>
            </w:r>
          </w:p>
          <w:p>
            <w:pPr>
              <w:spacing w:line="240" w:lineRule="exact"/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第二名</w:t>
            </w:r>
          </w:p>
          <w:p>
            <w:pPr>
              <w:spacing w:line="240" w:lineRule="exact"/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第二名</w:t>
            </w:r>
          </w:p>
          <w:p>
            <w:pPr>
              <w:spacing w:line="240" w:lineRule="exact"/>
              <w:ind w:firstLine="234" w:firstLineChars="100"/>
              <w:rPr>
                <w:rFonts w:hint="eastAsia" w:ascii="宋体" w:hAnsi="宋体"/>
                <w:bCs/>
                <w:spacing w:val="12"/>
                <w:szCs w:val="21"/>
              </w:rPr>
            </w:pPr>
          </w:p>
        </w:tc>
      </w:tr>
    </w:tbl>
    <w:p>
      <w:pPr>
        <w:tabs>
          <w:tab w:val="left" w:pos="6148"/>
        </w:tabs>
        <w:jc w:val="both"/>
        <w:rPr>
          <w:rFonts w:hint="eastAsia" w:cs="Times New Roman"/>
          <w:b/>
          <w:bCs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850" w:right="1020" w:bottom="850" w:left="10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03B8C2"/>
    <w:multiLevelType w:val="singleLevel"/>
    <w:tmpl w:val="D703B8C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E2F07"/>
    <w:rsid w:val="058448E6"/>
    <w:rsid w:val="10F47CA9"/>
    <w:rsid w:val="1C1E2F07"/>
    <w:rsid w:val="365812FC"/>
    <w:rsid w:val="4A02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2019-01-04T13:12:00Z</dcterms:created>
  <dc:creator>安子强</dc:creator>
  <cp:lastModifiedBy>安子强</cp:lastModifiedBy>
  <dcterms:modified xsi:type="dcterms:W3CDTF">2019-01-05T01:18:08Z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