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numPr>
          <w:ilvl w:val="0"/>
          <w:numId w:val="0"/>
        </w:numPr>
        <w:kinsoku/>
        <w:wordWrap/>
        <w:overflowPunct/>
        <w:topLinePunct w:val="0"/>
        <w:autoSpaceDN/>
        <w:bidi w:val="0"/>
        <w:adjustRightInd/>
        <w:snapToGrid/>
        <w:spacing w:line="240" w:lineRule="auto"/>
        <w:ind w:leftChars="0"/>
        <w:textAlignment w:val="auto"/>
        <w:outlineLvl w:val="9"/>
        <w:rPr>
          <w:rFonts w:hint="eastAsia" w:ascii="仿宋" w:hAnsi="仿宋" w:eastAsia="仿宋"/>
          <w:sz w:val="28"/>
          <w:szCs w:val="32"/>
          <w:lang w:eastAsia="zh-CN"/>
        </w:rPr>
      </w:pPr>
      <w:r>
        <w:rPr>
          <w:rFonts w:hint="eastAsia" w:ascii="仿宋" w:hAnsi="仿宋" w:eastAsia="仿宋"/>
          <w:sz w:val="28"/>
          <w:szCs w:val="32"/>
          <w:lang w:eastAsia="zh-CN"/>
        </w:rPr>
        <w:t>一、注册流程</w:t>
      </w:r>
    </w:p>
    <w:p>
      <w:pPr>
        <w:pStyle w:val="9"/>
        <w:keepNext w:val="0"/>
        <w:keepLines w:val="0"/>
        <w:pageBreakBefore w:val="0"/>
        <w:numPr>
          <w:ilvl w:val="0"/>
          <w:numId w:val="0"/>
        </w:numPr>
        <w:kinsoku/>
        <w:wordWrap/>
        <w:overflowPunct/>
        <w:topLinePunct w:val="0"/>
        <w:autoSpaceDN/>
        <w:bidi w:val="0"/>
        <w:adjustRightInd/>
        <w:snapToGrid/>
        <w:spacing w:line="240" w:lineRule="auto"/>
        <w:ind w:leftChars="0"/>
        <w:textAlignment w:val="auto"/>
        <w:outlineLvl w:val="9"/>
        <w:rPr>
          <w:rFonts w:ascii="仿宋" w:hAnsi="仿宋" w:eastAsia="仿宋"/>
          <w:sz w:val="28"/>
          <w:szCs w:val="32"/>
        </w:rPr>
      </w:pPr>
      <w:r>
        <w:rPr>
          <w:rFonts w:hint="eastAsia" w:ascii="仿宋" w:hAnsi="仿宋" w:eastAsia="仿宋"/>
          <w:sz w:val="28"/>
          <w:szCs w:val="32"/>
          <w:lang w:val="en-US" w:eastAsia="zh-CN"/>
        </w:rPr>
        <w:t>（一）</w:t>
      </w:r>
      <w:r>
        <w:rPr>
          <w:rFonts w:ascii="仿宋" w:hAnsi="仿宋" w:eastAsia="仿宋"/>
          <w:sz w:val="28"/>
          <w:szCs w:val="32"/>
        </w:rPr>
        <w:t>打开</w:t>
      </w:r>
      <w:r>
        <w:rPr>
          <w:rFonts w:hint="eastAsia" w:ascii="仿宋" w:hAnsi="仿宋" w:eastAsia="仿宋" w:cs="仿宋"/>
          <w:kern w:val="0"/>
          <w:sz w:val="28"/>
          <w:szCs w:val="32"/>
        </w:rPr>
        <w:t>河南省专业技术人员公共服务平台（网址：www.hnzjgl.gov.cn），拉到中下部“继续教育服务窗口”，点击“专业技术人员-注册”</w:t>
      </w:r>
      <w:r>
        <w:rPr>
          <w:rFonts w:ascii="仿宋" w:hAnsi="仿宋" w:eastAsia="仿宋" w:cs="仿宋"/>
          <w:kern w:val="0"/>
          <w:sz w:val="28"/>
          <w:szCs w:val="32"/>
        </w:rPr>
        <w:br w:type="textWrapping"/>
      </w:r>
      <w:r>
        <w:rPr>
          <w:rFonts w:ascii="仿宋" w:hAnsi="仿宋" w:eastAsia="仿宋"/>
          <w:sz w:val="28"/>
          <w:szCs w:val="32"/>
        </w:rPr>
        <w:drawing>
          <wp:inline distT="0" distB="0" distL="0" distR="0">
            <wp:extent cx="5274310" cy="2965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965450"/>
                    </a:xfrm>
                    <a:prstGeom prst="rect">
                      <a:avLst/>
                    </a:prstGeom>
                  </pic:spPr>
                </pic:pic>
              </a:graphicData>
            </a:graphic>
          </wp:inline>
        </w:drawing>
      </w:r>
    </w:p>
    <w:p>
      <w:pPr>
        <w:pStyle w:val="9"/>
        <w:keepNext w:val="0"/>
        <w:keepLines w:val="0"/>
        <w:pageBreakBefore w:val="0"/>
        <w:numPr>
          <w:ilvl w:val="0"/>
          <w:numId w:val="0"/>
        </w:numPr>
        <w:kinsoku/>
        <w:wordWrap/>
        <w:overflowPunct/>
        <w:topLinePunct w:val="0"/>
        <w:autoSpaceDN/>
        <w:bidi w:val="0"/>
        <w:adjustRightInd/>
        <w:snapToGrid/>
        <w:spacing w:line="240" w:lineRule="auto"/>
        <w:ind w:leftChars="0"/>
        <w:textAlignment w:val="auto"/>
        <w:outlineLvl w:val="9"/>
        <w:rPr>
          <w:rFonts w:ascii="仿宋" w:hAnsi="仿宋" w:eastAsia="仿宋"/>
          <w:sz w:val="28"/>
          <w:szCs w:val="32"/>
        </w:rPr>
      </w:pPr>
      <w:r>
        <w:rPr>
          <w:rFonts w:hint="eastAsia" w:ascii="仿宋" w:hAnsi="仿宋" w:eastAsia="仿宋"/>
          <w:sz w:val="28"/>
          <w:szCs w:val="32"/>
          <w:lang w:eastAsia="zh-CN"/>
        </w:rPr>
        <w:t>（二）</w:t>
      </w:r>
      <w:r>
        <w:rPr>
          <w:rFonts w:ascii="仿宋" w:hAnsi="仿宋" w:eastAsia="仿宋"/>
          <w:sz w:val="28"/>
          <w:szCs w:val="32"/>
        </w:rPr>
        <w:t>准确输入相关信息，点击“注册”。其中，“单位所属区域”选择“</w:t>
      </w:r>
      <w:r>
        <w:rPr>
          <w:rFonts w:hint="eastAsia" w:ascii="仿宋" w:hAnsi="仿宋" w:eastAsia="仿宋"/>
          <w:sz w:val="28"/>
          <w:szCs w:val="32"/>
          <w:lang w:eastAsia="zh-CN"/>
        </w:rPr>
        <w:t>省</w:t>
      </w:r>
      <w:r>
        <w:rPr>
          <w:rFonts w:ascii="仿宋" w:hAnsi="仿宋" w:eastAsia="仿宋"/>
          <w:sz w:val="28"/>
          <w:szCs w:val="32"/>
        </w:rPr>
        <w:t>直”，“所在单位”选择“</w:t>
      </w:r>
      <w:r>
        <w:rPr>
          <w:rFonts w:hint="eastAsia" w:ascii="仿宋" w:hAnsi="仿宋" w:eastAsia="仿宋"/>
          <w:sz w:val="28"/>
          <w:szCs w:val="32"/>
          <w:lang w:eastAsia="zh-CN"/>
        </w:rPr>
        <w:t>新乡</w:t>
      </w:r>
      <w:r>
        <w:rPr>
          <w:rFonts w:ascii="仿宋" w:hAnsi="仿宋" w:eastAsia="仿宋"/>
          <w:sz w:val="28"/>
          <w:szCs w:val="32"/>
        </w:rPr>
        <w:t>学院”，如图：</w:t>
      </w:r>
      <w:r>
        <w:rPr>
          <w:rFonts w:ascii="仿宋" w:hAnsi="仿宋" w:eastAsia="仿宋"/>
          <w:sz w:val="28"/>
          <w:szCs w:val="32"/>
        </w:rPr>
        <w:br w:type="textWrapping"/>
      </w:r>
      <w:r>
        <w:drawing>
          <wp:inline distT="0" distB="0" distL="114300" distR="114300">
            <wp:extent cx="5273675" cy="1433830"/>
            <wp:effectExtent l="0" t="0" r="317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5273675" cy="1433830"/>
                    </a:xfrm>
                    <a:prstGeom prst="rect">
                      <a:avLst/>
                    </a:prstGeom>
                    <a:noFill/>
                    <a:ln w="9525">
                      <a:noFill/>
                    </a:ln>
                  </pic:spPr>
                </pic:pic>
              </a:graphicData>
            </a:graphic>
          </wp:inline>
        </w:drawing>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二、学习流程</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（一）登录新乡市专业技术人才工作网（http://xxzj.ghlearning.com/）</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drawing>
          <wp:inline distT="0" distB="0" distL="114300" distR="114300">
            <wp:extent cx="5266055" cy="2834005"/>
            <wp:effectExtent l="0" t="0" r="1079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055" cy="2834005"/>
                    </a:xfrm>
                    <a:prstGeom prst="rect">
                      <a:avLst/>
                    </a:prstGeom>
                    <a:noFill/>
                    <a:ln w="9525">
                      <a:noFill/>
                    </a:ln>
                  </pic:spPr>
                </pic:pic>
              </a:graphicData>
            </a:graphic>
          </wp:inline>
        </w:drawing>
      </w:r>
    </w:p>
    <w:p>
      <w:pPr>
        <w:pStyle w:val="4"/>
        <w:keepNext w:val="0"/>
        <w:keepLines w:val="0"/>
        <w:pageBreakBefore w:val="0"/>
        <w:widowControl/>
        <w:suppressLineNumbers w:val="0"/>
        <w:shd w:val="clear" w:fill="FFFFFF"/>
        <w:kinsoku/>
        <w:wordWrap/>
        <w:overflowPunct/>
        <w:topLinePunct w:val="0"/>
        <w:autoSpaceDE w:val="0"/>
        <w:autoSpaceDN/>
        <w:bidi w:val="0"/>
        <w:adjustRightInd/>
        <w:snapToGrid/>
        <w:spacing w:before="0" w:beforeAutospacing="0" w:after="0" w:afterAutospacing="0" w:line="240" w:lineRule="auto"/>
        <w:ind w:right="0"/>
        <w:jc w:val="left"/>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（二）输入账号：身份证号，密码：身份证号后六位。技术服务热线：4009699636</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pPr>
      <w:r>
        <w:drawing>
          <wp:inline distT="0" distB="0" distL="114300" distR="114300">
            <wp:extent cx="2457450" cy="3152140"/>
            <wp:effectExtent l="0" t="0" r="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457450" cy="3152140"/>
                    </a:xfrm>
                    <a:prstGeom prst="rect">
                      <a:avLst/>
                    </a:prstGeom>
                    <a:noFill/>
                    <a:ln w="9525">
                      <a:noFill/>
                    </a:ln>
                  </pic:spPr>
                </pic:pic>
              </a:graphicData>
            </a:graphic>
          </wp:inline>
        </w:drawing>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（三）选择年度公需课程</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pPr>
      <w:r>
        <w:drawing>
          <wp:inline distT="0" distB="0" distL="114300" distR="114300">
            <wp:extent cx="5270500" cy="1098550"/>
            <wp:effectExtent l="0" t="0" r="635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0500" cy="1098550"/>
                    </a:xfrm>
                    <a:prstGeom prst="rect">
                      <a:avLst/>
                    </a:prstGeom>
                    <a:noFill/>
                    <a:ln w="9525">
                      <a:noFill/>
                    </a:ln>
                  </pic:spPr>
                </pic:pic>
              </a:graphicData>
            </a:graphic>
          </wp:inline>
        </w:drawing>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（四）个人自行报名缴费</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pPr>
      <w:r>
        <w:drawing>
          <wp:inline distT="0" distB="0" distL="114300" distR="114300">
            <wp:extent cx="5267960" cy="2072640"/>
            <wp:effectExtent l="0" t="0" r="889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7960" cy="2072640"/>
                    </a:xfrm>
                    <a:prstGeom prst="rect">
                      <a:avLst/>
                    </a:prstGeom>
                    <a:noFill/>
                    <a:ln w="9525">
                      <a:noFill/>
                    </a:ln>
                  </pic:spPr>
                </pic:pic>
              </a:graphicData>
            </a:graphic>
          </wp:inline>
        </w:drawing>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5.专业学时申报（2018年以前不用补学专业学时）</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（一）专业学时申报流程：个人申请——部门管理员网上审核。</w:t>
      </w:r>
    </w:p>
    <w:p>
      <w:pPr>
        <w:keepNext w:val="0"/>
        <w:keepLines w:val="0"/>
        <w:pageBreakBefore w:val="0"/>
        <w:kinsoku/>
        <w:wordWrap/>
        <w:overflowPunct/>
        <w:topLinePunct w:val="0"/>
        <w:autoSpaceDN/>
        <w:bidi w:val="0"/>
        <w:adjustRightInd/>
        <w:snapToGrid/>
        <w:spacing w:line="240" w:lineRule="auto"/>
        <w:textAlignment w:val="auto"/>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（二）</w:t>
      </w:r>
      <w:r>
        <w:rPr>
          <w:rFonts w:hint="eastAsia" w:ascii="仿宋" w:hAnsi="仿宋" w:eastAsia="仿宋" w:cs="仿宋"/>
          <w:sz w:val="28"/>
          <w:szCs w:val="32"/>
          <w:lang w:val="en-US" w:eastAsia="zh-CN"/>
        </w:rPr>
        <w:fldChar w:fldCharType="begin"/>
      </w:r>
      <w:r>
        <w:rPr>
          <w:rFonts w:hint="eastAsia" w:ascii="仿宋" w:hAnsi="仿宋" w:eastAsia="仿宋" w:cs="仿宋"/>
          <w:sz w:val="28"/>
          <w:szCs w:val="32"/>
          <w:lang w:val="en-US" w:eastAsia="zh-CN"/>
        </w:rPr>
        <w:instrText xml:space="preserve"> HYPERLINK "http://www.chenggong.edu.cn/cg_rss/upload/files/2018/4/1892929754.docx" \o "附件1：专业学时申报类型需提交相关材料说明.docx" </w:instrText>
      </w:r>
      <w:r>
        <w:rPr>
          <w:rFonts w:hint="eastAsia" w:ascii="仿宋" w:hAnsi="仿宋" w:eastAsia="仿宋" w:cs="仿宋"/>
          <w:sz w:val="28"/>
          <w:szCs w:val="32"/>
          <w:lang w:val="en-US" w:eastAsia="zh-CN"/>
        </w:rPr>
        <w:fldChar w:fldCharType="separate"/>
      </w:r>
      <w:r>
        <w:rPr>
          <w:rFonts w:hint="eastAsia" w:ascii="仿宋" w:hAnsi="仿宋" w:eastAsia="仿宋" w:cs="仿宋"/>
          <w:sz w:val="28"/>
          <w:szCs w:val="32"/>
          <w:lang w:val="en-US" w:eastAsia="zh-CN"/>
        </w:rPr>
        <w:t>专业学时申报提交相关材料说明</w:t>
      </w:r>
      <w:r>
        <w:rPr>
          <w:rFonts w:hint="eastAsia" w:ascii="仿宋" w:hAnsi="仿宋" w:eastAsia="仿宋" w:cs="仿宋"/>
          <w:sz w:val="28"/>
          <w:szCs w:val="32"/>
          <w:lang w:val="en-US" w:eastAsia="zh-CN"/>
        </w:rPr>
        <w:fldChar w:fldCharType="end"/>
      </w:r>
      <w:r>
        <w:rPr>
          <w:rFonts w:hint="eastAsia" w:ascii="仿宋" w:hAnsi="仿宋" w:eastAsia="仿宋" w:cs="仿宋"/>
          <w:sz w:val="28"/>
          <w:szCs w:val="32"/>
          <w:lang w:val="en-US" w:eastAsia="zh-CN"/>
        </w:rPr>
        <w:t>（</w:t>
      </w:r>
      <w:r>
        <w:rPr>
          <w:rFonts w:hint="eastAsia"/>
          <w:color w:val="000000"/>
          <w:sz w:val="24"/>
          <w:szCs w:val="24"/>
          <w:shd w:val="clear" w:color="auto" w:fill="FFFFFF"/>
        </w:rPr>
        <w:t>河南省专业技术人员管理处2017年11月27日</w:t>
      </w:r>
      <w:r>
        <w:rPr>
          <w:rFonts w:hint="eastAsia" w:ascii="仿宋" w:hAnsi="仿宋" w:eastAsia="仿宋" w:cs="仿宋"/>
          <w:sz w:val="28"/>
          <w:szCs w:val="32"/>
          <w:lang w:val="en-US" w:eastAsia="zh-CN"/>
        </w:rPr>
        <w:t>）</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1.参加各级继续教育基地举办的继续教育培训班学习</w:t>
      </w:r>
      <w:bookmarkStart w:id="0" w:name="_GoBack"/>
      <w:bookmarkEnd w:id="0"/>
    </w:p>
    <w:p>
      <w:pPr>
        <w:keepNext w:val="0"/>
        <w:keepLines w:val="0"/>
        <w:pageBreakBefore w:val="0"/>
        <w:kinsoku/>
        <w:wordWrap/>
        <w:overflowPunct/>
        <w:topLinePunct w:val="0"/>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个人申报或继续教育基地统一申报。个人申报需要上传培训通知、结业证书及单位证明材料，基地统一上报的可以不用提供。</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2.参加培训、研修活动</w:t>
      </w:r>
    </w:p>
    <w:p>
      <w:pPr>
        <w:keepNext w:val="0"/>
        <w:keepLines w:val="0"/>
        <w:pageBreakBefore w:val="0"/>
        <w:kinsoku/>
        <w:wordWrap/>
        <w:overflowPunct/>
        <w:topLinePunct w:val="0"/>
        <w:autoSpaceDN/>
        <w:bidi w:val="0"/>
        <w:adjustRightInd/>
        <w:snapToGrid/>
        <w:spacing w:line="24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需要上传培训通知、结业证书及单位证明材料。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3.参加学历、学位教育</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需要上传当年度成绩单，进修学习的还需要提供单位派出证明、进修单位考核证明。</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4.参加学术会议</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需要上传会议通知和单位证明材料，如宣读论文或报告，需提供有关证明材料。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5.课题研究与项目开发</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需要上传参加国家级、省级课题/项目研究证明材料。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6.出版著作（译作）或发表论文</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著作需要上传：封面、扉页、目录；论文需要上传：杂志封面、目录、文章。</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7.获得中国专利局授予的发明专利、获得国家知识产权局授予的实用新型专利和外观设计专利需要上传专利证书。</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8.获得科学技术进步奖、自然科学奖、技术发明奖和社科奖等奖项需要上传获奖证书。</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9.通过全国高、中、初级专业技术资格考试；通过全国执业资格或职业水平考试需要上传资格证书。</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10.专题调研报告被省委、省政府领导或当地党委、政府主要领导、主管领导批示的需要上传领导批示件。</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11.参加援藏、援疆、援外及到基层、贫困地区参加支教、支农、支医、扶贫和挂职锻炼需要上传用人单位或主管部门印发的相关文件、出具的年度考核证明。</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12.参加人力资源和社会保障部门或本单位、行业组织的服务基层活动需要上传服务活动通知、组织方出具的参与证明、本单位证明材料。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13.行业主管部门组织的专业技术人员专业科目培训</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培训项目列入年度计划，并报人社部门备案。申报学时需提供培训通知、参与培训相关证明材料。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14.用人单位组织的本单位专业技术人员专业科目培训</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培训项目纳入主管部门年度培训计划，并报人社部门备案。申报学时需提供单位培训通知、参与培训相关证明材料。</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15.年度内在境外工作超过6个月、年度内因病假超过6个月、生育或经业务主管部门批准的其他情况</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境外工作的需提供单位证明；病假需提供单位和医院证明；生育提供单位证明，学时按实际在岗时间计算，如需申报66个学时，休半年产假可折算33个学时。</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16.其他类别的继续教育形式</w:t>
      </w:r>
    </w:p>
    <w:p>
      <w:pPr>
        <w:keepNext w:val="0"/>
        <w:keepLines w:val="0"/>
        <w:pageBreakBefore w:val="0"/>
        <w:kinsoku/>
        <w:wordWrap/>
        <w:overflowPunct/>
        <w:topLinePunct w:val="0"/>
        <w:autoSpaceDN/>
        <w:bidi w:val="0"/>
        <w:adjustRightInd/>
        <w:snapToGrid/>
        <w:spacing w:line="240" w:lineRule="auto"/>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由省辖市、省直管县（市）人力资源社会保障行政部门或省业务主管部门参照专业科目学时折算标准确认学时，并报省人力资源和社会保障厅备案。</w:t>
      </w: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eastAsiaTheme="minorEastAsia"/>
          <w:lang w:val="en-US" w:eastAsia="zh-CN"/>
        </w:rPr>
      </w:pPr>
    </w:p>
    <w:p>
      <w:pPr>
        <w:pStyle w:val="9"/>
        <w:keepNext w:val="0"/>
        <w:keepLines w:val="0"/>
        <w:pageBreakBefore w:val="0"/>
        <w:widowControl w:val="0"/>
        <w:numPr>
          <w:ilvl w:val="0"/>
          <w:numId w:val="0"/>
        </w:numPr>
        <w:kinsoku/>
        <w:wordWrap/>
        <w:overflowPunct/>
        <w:topLinePunct w:val="0"/>
        <w:autoSpaceDN/>
        <w:bidi w:val="0"/>
        <w:adjustRightInd/>
        <w:snapToGrid/>
        <w:spacing w:line="240" w:lineRule="auto"/>
        <w:jc w:val="both"/>
        <w:textAlignment w:val="auto"/>
        <w:outlineLvl w:val="9"/>
        <w:rPr>
          <w:rFonts w:hint="eastAsia" w:ascii="仿宋" w:hAnsi="仿宋" w:eastAsia="仿宋" w:cs="仿宋"/>
          <w:sz w:val="28"/>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00007A87" w:usb1="80000000" w:usb2="00000008" w:usb3="00000000" w:csb0="400001FF" w:csb1="FFFF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DC"/>
    <w:rsid w:val="000334A3"/>
    <w:rsid w:val="00050E44"/>
    <w:rsid w:val="000737FD"/>
    <w:rsid w:val="0009430B"/>
    <w:rsid w:val="000C506F"/>
    <w:rsid w:val="00104D1D"/>
    <w:rsid w:val="0011072A"/>
    <w:rsid w:val="0013588A"/>
    <w:rsid w:val="001E11DA"/>
    <w:rsid w:val="001E4076"/>
    <w:rsid w:val="00210141"/>
    <w:rsid w:val="00273053"/>
    <w:rsid w:val="0029161F"/>
    <w:rsid w:val="002A25F9"/>
    <w:rsid w:val="002B1F35"/>
    <w:rsid w:val="002D1DF8"/>
    <w:rsid w:val="003672CA"/>
    <w:rsid w:val="003B500C"/>
    <w:rsid w:val="003B6A23"/>
    <w:rsid w:val="00400483"/>
    <w:rsid w:val="00425649"/>
    <w:rsid w:val="004719E9"/>
    <w:rsid w:val="004C43E3"/>
    <w:rsid w:val="005D0D6B"/>
    <w:rsid w:val="005E1880"/>
    <w:rsid w:val="00644E17"/>
    <w:rsid w:val="00646848"/>
    <w:rsid w:val="00655FC4"/>
    <w:rsid w:val="00783E17"/>
    <w:rsid w:val="007A61A6"/>
    <w:rsid w:val="007B04DA"/>
    <w:rsid w:val="007D3776"/>
    <w:rsid w:val="007E7BA3"/>
    <w:rsid w:val="00806ECB"/>
    <w:rsid w:val="00813E7C"/>
    <w:rsid w:val="00866F61"/>
    <w:rsid w:val="00867E41"/>
    <w:rsid w:val="00913F09"/>
    <w:rsid w:val="00973A99"/>
    <w:rsid w:val="009A0E1C"/>
    <w:rsid w:val="00A101C1"/>
    <w:rsid w:val="00A310AF"/>
    <w:rsid w:val="00A664B5"/>
    <w:rsid w:val="00AC591E"/>
    <w:rsid w:val="00B51404"/>
    <w:rsid w:val="00B65A12"/>
    <w:rsid w:val="00B823E2"/>
    <w:rsid w:val="00BB2512"/>
    <w:rsid w:val="00BC39A7"/>
    <w:rsid w:val="00C10A62"/>
    <w:rsid w:val="00CC4E34"/>
    <w:rsid w:val="00D1558D"/>
    <w:rsid w:val="00D272DC"/>
    <w:rsid w:val="00D509C2"/>
    <w:rsid w:val="00D6065F"/>
    <w:rsid w:val="00D7759D"/>
    <w:rsid w:val="00DD5BD9"/>
    <w:rsid w:val="00E20152"/>
    <w:rsid w:val="00EA7E37"/>
    <w:rsid w:val="00F040AB"/>
    <w:rsid w:val="00F45B76"/>
    <w:rsid w:val="00F60F50"/>
    <w:rsid w:val="1C6F5F63"/>
    <w:rsid w:val="2FC21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6">
    <w:name w:val="FollowedHyperlink"/>
    <w:basedOn w:val="5"/>
    <w:semiHidden/>
    <w:unhideWhenUsed/>
    <w:qFormat/>
    <w:uiPriority w:val="99"/>
    <w:rPr>
      <w:color w:val="333333"/>
      <w:u w:val="none"/>
    </w:rPr>
  </w:style>
  <w:style w:type="character" w:styleId="7">
    <w:name w:val="Hyperlink"/>
    <w:basedOn w:val="5"/>
    <w:semiHidden/>
    <w:unhideWhenUsed/>
    <w:qFormat/>
    <w:uiPriority w:val="99"/>
    <w:rPr>
      <w:color w:val="333333"/>
      <w:u w:val="none"/>
    </w:rPr>
  </w:style>
  <w:style w:type="paragraph" w:styleId="9">
    <w:name w:val="List Paragraph"/>
    <w:basedOn w:val="1"/>
    <w:qFormat/>
    <w:uiPriority w:val="34"/>
    <w:pPr>
      <w:ind w:firstLine="420" w:firstLineChars="200"/>
    </w:pPr>
  </w:style>
  <w:style w:type="character" w:customStyle="1" w:styleId="10">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57</Words>
  <Characters>331</Characters>
  <Lines>2</Lines>
  <Paragraphs>1</Paragraphs>
  <TotalTime>0</TotalTime>
  <ScaleCrop>false</ScaleCrop>
  <LinksUpToDate>false</LinksUpToDate>
  <CharactersWithSpaces>387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2018-07-18T07:28:00Z</dcterms:created>
  <dc:creator>Administrator</dc:creator>
  <cp:lastModifiedBy>安子强</cp:lastModifiedBy>
  <dcterms:modified xsi:type="dcterms:W3CDTF">2018-09-21T02:54:25Z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